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7.629394531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666750" cy="619125"/>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666750" cy="61912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7.1386718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MINISTÉRIO DA EDUCAÇÃO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1.3415527343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UNIVERSIDADE FEDERAL DO PIAUÍ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08.2824707031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CAMPUS SENADOR HELVÍDIO NUNES DE BARROS – CSHNB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59.62829589843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CURSO DE BACHARELADO EM NUTRIÇÃO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15576171875" w:line="240" w:lineRule="auto"/>
        <w:ind w:left="0" w:right="2797.156982421875" w:firstLine="0"/>
        <w:jc w:val="righ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PLANO DE ENSINO - 2021.1 REMOTO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5.726318359375" w:line="264.3717384338379" w:lineRule="auto"/>
        <w:ind w:left="148.6199188232422" w:right="1009.6954345703125" w:hanging="1.7599487304687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DISCIPLINA: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Ética, Bioética e Orientação Profissional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CÓDIGO: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CHN0582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BLOCO DE OFERTA: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5º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CRÉDITOS: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2.0.0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CARGA HORÁRIA: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30 h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PERÍODO LETIVO: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2021.1 (remoto)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326171875" w:line="240" w:lineRule="auto"/>
        <w:ind w:left="146.85997009277344"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DOCENTE RESPONSÁVEL: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Profa. Dra</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Regina Márcia Soares Cavalcante </w:t>
      </w:r>
    </w:p>
    <w:tbl>
      <w:tblPr>
        <w:tblStyle w:val="Table1"/>
        <w:tblW w:w="9640.0012207031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39996337890625" w:right="0" w:firstLine="0"/>
              <w:jc w:val="left"/>
              <w:rPr>
                <w:rFonts w:ascii="Times New Roman" w:cs="Times New Roman" w:eastAsia="Times New Roman" w:hAnsi="Times New Roman"/>
                <w:b w:val="1"/>
                <w:i w:val="0"/>
                <w:smallCaps w:val="0"/>
                <w:strike w:val="0"/>
                <w:color w:val="000000"/>
                <w:sz w:val="22"/>
                <w:szCs w:val="22"/>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d9d9d9" w:val="clear"/>
                <w:vertAlign w:val="baseline"/>
                <w:rtl w:val="0"/>
              </w:rPr>
              <w:t xml:space="preserve">I – EMENTA</w:t>
            </w:r>
          </w:p>
        </w:tc>
      </w:tr>
      <w:tr>
        <w:trPr>
          <w:cantSplit w:val="0"/>
          <w:trHeight w:val="20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7384338379" w:lineRule="auto"/>
              <w:ind w:left="127.27996826171875" w:right="78.00048828125" w:firstLine="24.419937133789062"/>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Origem e evolução da bioética.Princípios básicos da bioética: autonomia,beneficência, não maleficência e justiça.Bioética das situações persistentes e emergentes.Ética: conceito e objeto. Ética , moral e cultura. Comitês de ética: termo de consentimento livre e esclarecido. Legislação específica e código de ética do nutricionista. Entidades representativas da categoria: Conselhos, Associações e Sindicatos.Orientação profissional: currículos e instrumento profissional.</w:t>
            </w:r>
          </w:p>
        </w:tc>
      </w:tr>
    </w:tbl>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39996337890625"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II – OBJETIVO GERAL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9.1851806640625" w:line="264.3717384338379" w:lineRule="auto"/>
        <w:ind w:left="150.37994384765625" w:right="326.910400390625" w:firstLine="361.540069580078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Compreender a Ética como consciência moral e a responsabilidade do profissional perante o indivíduo e a coletividade.</w:t>
      </w:r>
    </w:p>
    <w:tbl>
      <w:tblPr>
        <w:tblStyle w:val="Table2"/>
        <w:tblW w:w="9640.0012207031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39996337890625" w:right="0" w:firstLine="0"/>
              <w:jc w:val="left"/>
              <w:rPr>
                <w:rFonts w:ascii="Times New Roman" w:cs="Times New Roman" w:eastAsia="Times New Roman" w:hAnsi="Times New Roman"/>
                <w:b w:val="1"/>
                <w:i w:val="0"/>
                <w:smallCaps w:val="0"/>
                <w:strike w:val="0"/>
                <w:color w:val="000000"/>
                <w:sz w:val="22"/>
                <w:szCs w:val="22"/>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d9d9d9" w:val="clear"/>
                <w:vertAlign w:val="baseline"/>
                <w:rtl w:val="0"/>
              </w:rPr>
              <w:t xml:space="preserve">III – OBJETIVOS ESPECÍFICOS</w:t>
            </w:r>
          </w:p>
        </w:tc>
      </w:tr>
      <w:tr>
        <w:trPr>
          <w:cantSplit w:val="0"/>
          <w:trHeight w:val="252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0.1599121093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Despertar e preparar o aluno para uma postura profissional e ética;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872.1598815917969" w:right="57.2509765625" w:hanging="341.99996948242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Analisar as questões de bioética no contexto da saúde e as implicações na vida atual, bem como as condutas éticas, sociais e legais que devem adotar o nutricionista durante o exercício de suas atividades;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799560546875" w:line="229.88847255706787" w:lineRule="auto"/>
              <w:ind w:left="863.5198974609375" w:right="72.623291015625" w:hanging="333.359985351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Analisar o código de ética do nutricionista, conhecendo as normas para o compromisso profissional e sua responsabilidade no exercício da profissão;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921630859375" w:line="229.8874568939209" w:lineRule="auto"/>
              <w:ind w:left="865.4399108886719" w:right="74.332275390625" w:hanging="335.279998779296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Incentivar a formação de profissionais que se utilizem da empatia e da boa comunicação nos trabalhos em equipe e no atendimento nutricional.</w:t>
            </w:r>
          </w:p>
        </w:tc>
      </w:tr>
    </w:tbl>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640.0012207031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4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39996337890625"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IV – CONTEÚDO PROGRAMÁTICO</w:t>
            </w:r>
          </w:p>
        </w:tc>
      </w:tr>
    </w:tbl>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640.0012207031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13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9.059906005859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UNIDADE I: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(8h): ÉTICA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52130126953125" w:line="240" w:lineRule="auto"/>
              <w:ind w:left="523.139953613281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Aspectos conceituais e objeto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139953613281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Ética, moral e cultura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139953613281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Relações interpessoais</w:t>
            </w:r>
          </w:p>
        </w:tc>
      </w:tr>
    </w:tbl>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4.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omitês de Ética: termo de consentimento livre e esclarecido.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865.4399108886719" w:right="198.294677734375" w:hanging="340.5599975585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RABALHO:Tema- Ética em experimentos com modelo animal e em pesquisa com humanos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31298828125" w:line="240" w:lineRule="auto"/>
        <w:ind w:left="509.059906005859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UNIDADE II:</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(8h):BIOÉTICA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52587890625" w:line="240" w:lineRule="auto"/>
        <w:ind w:left="523.139953613281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Conceitos e princípios fundamentais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13995361328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Origem e evolução da bioética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6703548431396" w:lineRule="auto"/>
        <w:ind w:left="523.1399536132812" w:right="1641.193237304687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Princípios básicos da bioética: autonomia,beneficência, não maleficência e justiça.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Bioética das situações persistentes e emergentes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689453125" w:line="230.76703548431396" w:lineRule="auto"/>
        <w:ind w:left="523.1399536132812" w:right="354.6459960937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Aspectos éticos, sociais e legais do(a): aborto, paciente terminais e eutanásia, transplante e AIDS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Bioética em pesquisa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689453125" w:line="240" w:lineRule="auto"/>
        <w:ind w:left="523.139953613281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DEBATE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164306640625" w:line="240" w:lineRule="auto"/>
        <w:ind w:left="509.059906005859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UNIDADE III:</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(8h): ÉTICA E NUTRIÇÃO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52587890625" w:line="240" w:lineRule="auto"/>
        <w:ind w:left="523.139953613281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single"/>
          <w:shd w:fill="auto" w:val="clear"/>
          <w:vertAlign w:val="baseline"/>
          <w:rtl w:val="0"/>
        </w:rPr>
        <w:t xml:space="preserve">É</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tica profissional e posturas éticas na Nutrição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139953613281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Legislação específica e código de ética do nutricionista.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139953613281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Entidades representativas de categoria: Conselhos, Associações e Sindicatos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3.139953613281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AVALIAÇÃO ESCRITA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164306640625" w:line="240" w:lineRule="auto"/>
        <w:ind w:left="569.059906005859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UNIDADE IV: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(6h): ORIENTAÇÃO PROFISSIONAL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57666015625" w:line="229.88847255706787" w:lineRule="auto"/>
        <w:ind w:left="943.1399536132812" w:right="1339.3713378906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importância 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Curriculum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instrumento profissional e seus tipos.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ELABORAÇÃO DE CURRICULUM </w:t>
      </w:r>
    </w:p>
    <w:tbl>
      <w:tblPr>
        <w:tblStyle w:val="Table5"/>
        <w:tblW w:w="9660.0012207031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001220703125"/>
        <w:tblGridChange w:id="0">
          <w:tblGrid>
            <w:gridCol w:w="9660.001220703125"/>
          </w:tblGrid>
        </w:tblGridChange>
      </w:tblGrid>
      <w:tr>
        <w:trPr>
          <w:cantSplit w:val="0"/>
          <w:trHeight w:val="3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91995239257812"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V – METODOLOGIA - PROCEDIMENTOS DE ENSINO E APRENDIZAGEM</w:t>
            </w:r>
          </w:p>
        </w:tc>
      </w:tr>
      <w:tr>
        <w:trPr>
          <w:cantSplit w:val="0"/>
          <w:trHeight w:val="20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8.5199737548828"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 Técnicas Educacionais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51806640625" w:line="240" w:lineRule="auto"/>
              <w:ind w:left="149.2799377441406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Aula expositivo – dialogada em sala virtual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45703125" w:line="240" w:lineRule="auto"/>
              <w:ind w:left="153.019943237304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Discussão em grupos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39599609375" w:line="240" w:lineRule="auto"/>
              <w:ind w:left="153.019943237304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Leitura, análise e discussão de artigos científicos</w:t>
            </w:r>
          </w:p>
        </w:tc>
      </w:tr>
    </w:tbl>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
        <w:tblW w:w="9660.0012207031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001220703125"/>
        <w:tblGridChange w:id="0">
          <w:tblGrid>
            <w:gridCol w:w="9660.001220703125"/>
          </w:tblGrid>
        </w:tblGridChange>
      </w:tblGrid>
      <w:tr>
        <w:trPr>
          <w:cantSplit w:val="0"/>
          <w:trHeight w:val="3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91995239257812"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VI – RECURSOS DIDÁTICOS</w:t>
            </w:r>
          </w:p>
        </w:tc>
      </w:tr>
    </w:tbl>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3599395751953"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Notebook;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104736328125" w:line="240" w:lineRule="auto"/>
        <w:ind w:left="153.019943237304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Textos de apoio (artigos científicos);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116943359375" w:line="240" w:lineRule="auto"/>
        <w:ind w:left="153.019943237304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Internet;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104736328125" w:line="240" w:lineRule="auto"/>
        <w:ind w:left="153.019943237304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Plataforma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Google Meet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116943359375" w:line="240" w:lineRule="auto"/>
        <w:ind w:left="153.019943237304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Sistema Integrado de Gestão de Atividades Acadêmicas (SIGAA)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104736328125" w:line="229.88847255706787" w:lineRule="auto"/>
        <w:ind w:left="503.55987548828125" w:right="182.3095703125" w:firstLine="14.300079345703125"/>
        <w:jc w:val="both"/>
        <w:rPr>
          <w:rFonts w:ascii="Times New Roman" w:cs="Times New Roman" w:eastAsia="Times New Roman" w:hAnsi="Times New Roman"/>
          <w:b w:val="0"/>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Será utilizado ambiente virtual de aprendizagem como mídia principal, complementado com material impresso, audiovisual,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webconferências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vídeo aulas, conteúdos organizados em plataformas virtuais de ensino e aprendizagem, correio eletrônico. Todos os materiais utilizados para as aulas não produzidos diretamente pelo docente responsável pela atividade curricular deverão conter a respectiva </w:t>
      </w:r>
      <w:r w:rsidDel="00000000" w:rsidR="00000000" w:rsidRPr="00000000">
        <w:rPr>
          <w:rFonts w:ascii="Times New Roman" w:cs="Times New Roman" w:eastAsia="Times New Roman" w:hAnsi="Times New Roman"/>
          <w:b w:val="0"/>
          <w:i w:val="0"/>
          <w:smallCaps w:val="0"/>
          <w:strike w:val="0"/>
          <w:color w:val="000000"/>
          <w:sz w:val="22"/>
          <w:szCs w:val="22"/>
          <w:u w:val="single"/>
          <w:shd w:fill="auto" w:val="clear"/>
          <w:vertAlign w:val="baseline"/>
          <w:rtl w:val="0"/>
        </w:rPr>
        <w:t xml:space="preserve">fonte, com a indicação de autoria, respeitados os direitos autorais assegurados pela Lei nº 9.610/98.</w:t>
      </w:r>
    </w:p>
    <w:tbl>
      <w:tblPr>
        <w:tblStyle w:val="Table7"/>
        <w:tblW w:w="9660.0012207031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001220703125"/>
        <w:tblGridChange w:id="0">
          <w:tblGrid>
            <w:gridCol w:w="9660.001220703125"/>
          </w:tblGrid>
        </w:tblGridChange>
      </w:tblGrid>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91995239257812"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VII – SISTEMÁTICA DE AVALIAÇÃO</w:t>
            </w:r>
          </w:p>
        </w:tc>
      </w:tr>
      <w:tr>
        <w:trPr>
          <w:cantSplit w:val="0"/>
          <w:trHeight w:val="13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7384338379" w:lineRule="auto"/>
              <w:ind w:left="158.5199737548828" w:right="549.6502685546875" w:hanging="12.7600097656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nota final da disciplina será a média aritmética das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02 (duas) notas parciais (NP)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descritas abaixo: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1ª NP: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Apresentação de seminários + Trabalhos escritos (10,0).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4482421875" w:line="240" w:lineRule="auto"/>
              <w:ind w:left="149.2799377441406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2ª NP: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Apresentação de seminários + Trabalhos escritos (10,0).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11083984375" w:line="264.3717384338379" w:lineRule="auto"/>
              <w:ind w:left="151.91993713378906" w:right="66.499023437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Considerando as normas de funcionamento dos cursos de graduação, contidas na resolução 177/2012 do Conselho de Ensino, Pesquisa e Extensão-CEPEX, de onde se destacam os seguintes artigos: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69775390625" w:line="240" w:lineRule="auto"/>
              <w:ind w:left="145.759963989257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Art. 110 Será aprovado por média o aluno que obtiver média parcial igual ou superior a 7,0 (sete) [...]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11083984375" w:line="240" w:lineRule="auto"/>
              <w:ind w:left="145.759963989257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Art. 111 Será considerado aprovado no componente curricular o aluno que: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5791015625" w:line="264.3717384338379" w:lineRule="auto"/>
              <w:ind w:left="151.47994995117188" w:right="75.982666015625" w:hanging="1.9799804687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 Obtiver frequência igual ou superior a 75% (setenta e cinco por cento) da carga horária do componente curricular e média aritmética igual ou superior a 7 (sete) nas avaliações parciais;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4482421875" w:line="264.3717384338379" w:lineRule="auto"/>
              <w:ind w:left="151.91993713378906" w:right="64.794921875" w:hanging="2.419967651367187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II –Submetido ao exame final, obtiver média aritmética igual ou superior a 6 (seis) resultante da média aritmética das avaliações parciais e da nota do exame final.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69775390625" w:line="240" w:lineRule="auto"/>
              <w:ind w:left="145.759963989257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Art. 112 Será considerado reprovado o aluno que se incluir em um dos três itens: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5791015625" w:line="264.3717384338379" w:lineRule="auto"/>
              <w:ind w:left="151.47994995117188" w:right="66.51611328125" w:hanging="1.9799804687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 Obtiver frequência inferior a 75% (setenta e cinco por cento) da carga horária do componente curricular;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2041015625" w:line="240" w:lineRule="auto"/>
              <w:ind w:left="149.4999694824218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II – Obtiver média aritmética inferior a 4 (quatro) nas avaliações parciais;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232421875" w:line="264.3728542327881" w:lineRule="auto"/>
              <w:ind w:left="145.31997680664062" w:right="69.080810546875" w:firstLine="4.179992675781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III – Obtiver média aritmética inferior a 6 (seis) resultante da média aritmética das avaliações parciais e da nota do exame final.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642822265625" w:line="264.3739700317383" w:lineRule="auto"/>
              <w:ind w:left="151.47994995117188" w:right="67.2900390625" w:hanging="5.71998596191406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Art. 113 É reprovado no componente curricular o aluno cuja média final for menor que 4,0 (quatro). Neste caso o aluno não se poderá se submeter ao exame final. [...]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679443359375" w:line="264.369535446167" w:lineRule="auto"/>
              <w:ind w:left="151.47994995117188" w:right="75.899658203125" w:hanging="5.71998596191406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Art. 116 O aluno cuja média parcial for maior ou igual a 4,0 (quatro) e menor que 7,0 (sete) e que satisfaça os requisitos de assiduidade definidos no Artigo 117 terá direito à realização do exame final.”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764892578125" w:line="264.369535446167" w:lineRule="auto"/>
              <w:ind w:left="145.09994506835938" w:right="66.37451171875" w:firstLine="6.599960327148437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 exame final constará de prova contemplando todo o conteúdo programático, devendo ser realizado 05 (cinco) dias após a divulgação do resultado da média das verificações parciais, observado o Calendário Universitário.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764892578125" w:line="264.3717384338379" w:lineRule="auto"/>
              <w:ind w:left="143.55995178222656" w:right="62.864990234375" w:firstLine="8.139953613281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Os critérios de realização da segunda chamada baseiam-se na resolução 177/2012 – CEPEX: § 1º O aluno poderá requerer exame de segunda chamada por si ou por procurador legalmente constituído. O requerimento dirigido ao professor responsável pela disciplina, devidamente justificado e comprovado, deve ser protocolado à chefia do Departamento/Curso a qual o componente curricular esteja vinculada no prazo de 03 (três) dias úteis, contado este prazo a partir da data da avaliação não realizada.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64892578125" w:line="264.37145233154297" w:lineRule="auto"/>
              <w:ind w:left="143.55995178222656" w:right="69.349365234375" w:firstLine="17.159957885742188"/>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2º Consideram-se motivos que justificam a ausência do aluno às verificações parciais e/ou ao exame final: a) doença; b) doença ou óbito de familiares diretos; c) Audiência Judicial; d) Militares, policiais e outros profissionais em missão oficial; e) Participação em congressos, reuniões oficiais ou eventos culturais representando a Universidade, o Município ou Estado; f) Outros motivos que, apresentados, possam ser julgados procedentes.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7618408203125" w:line="264.369535446167" w:lineRule="auto"/>
              <w:ind w:left="143.55995178222656" w:right="69.896240234375" w:firstLine="17.159957885742188"/>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3º O professor ou professores do componente curricular terão um prazo máximo de dois dias úteis, a partir do recebimento do requerimento, para julgá-los e marcar uma data de realização da verificação de segunda chamada.</w:t>
            </w:r>
          </w:p>
        </w:tc>
      </w:tr>
    </w:tbl>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
        <w:tblW w:w="9660.0012207031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001220703125"/>
        <w:tblGridChange w:id="0">
          <w:tblGrid>
            <w:gridCol w:w="9660.001220703125"/>
          </w:tblGrid>
        </w:tblGridChange>
      </w:tblGrid>
      <w:tr>
        <w:trPr>
          <w:cantSplit w:val="0"/>
          <w:trHeight w:val="110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69535446167" w:lineRule="auto"/>
              <w:ind w:left="151.25991821289062" w:right="64.906005859375" w:firstLine="9.4599914550781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4º A realização da verificação de segunda chamada obedecerá ao prazo de até 05 (cinco) dias após o deferimento do pedido do aluno, observando o Calendário Acadêmico.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72216796875" w:line="264.3739700317383" w:lineRule="auto"/>
              <w:ind w:left="152.1399688720703" w:right="61.9873046875" w:firstLine="8.579940795898438"/>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5º A avaliação de segunda chamada deverá contemplar o mesmo conteúdo da verificação parcial ou exame final a que o aluno não compareceu.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62451171875" w:line="264.3739700317383" w:lineRule="auto"/>
              <w:ind w:left="151.91993713378906" w:right="77.313232421875" w:firstLine="8.799972534179688"/>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6º Ao aluno que não participar de qualquer avaliação, não tendo obtido a permissão para fazer outra, é atribuída a nota 0 (zero).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67333984375" w:line="264.3717384338379" w:lineRule="auto"/>
              <w:ind w:left="147.7399444580078" w:right="65.338134765625" w:hanging="1.9799804687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definição de instrumentos avaliativos, durante todo o processo de 2021.1, irá mensurar qualitativa e quantitativamente o desenvolvimento do aprendizado do estudante, segundo as normas previstas na Resolução nº 101/2021 - CEPEX, que estabelece a retomada do período 2021.1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69775390625" w:line="240" w:lineRule="auto"/>
              <w:ind w:left="145.97991943359375"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Vale lembrar que: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11083984375" w:line="264.3717384338379" w:lineRule="auto"/>
              <w:ind w:left="145.31997680664062" w:right="72.7587890625" w:firstLine="0.439987182617187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Art. 11 Fica estabelecido, excepcionalmente para a oferta relativa ao Período Letivo 2021.1, que o controle de frequência será realizado por meio da participação dos estudantes nas atividades indicadas pelo docente no plano de curso da disciplina.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2041015625" w:line="264.37342643737793" w:lineRule="auto"/>
              <w:ind w:left="152.5799560546875" w:right="74.49951171875" w:firstLine="8.139953613281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1º O registro de frequência nas disciplinas ofertadas no Período Letivo 2021.1 não atestará a presença física dos discentes na IES.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63134765625" w:line="264.3710231781006" w:lineRule="auto"/>
              <w:ind w:left="143.55995178222656" w:right="68.18115234375" w:firstLine="17.159957885742188"/>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§2º A frequência mínima exigida será de 75% (setenta e cinco por cento), conforme preconizado pela Resolução 177/2012 - CEPEX/UFPI, assim compreendidas: I Atividade Síncrona-assiduidade e participação na atividade realizada em tempo real II Atividade assíncrona realização e envio de atividades acadêmicas..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7099609375" w:line="264.3717384338379" w:lineRule="auto"/>
              <w:ind w:left="150.5999755859375" w:right="51.199951171875" w:hanging="4.840011596679687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Art. 12 A avaliação do rendimento acadêmico será feita por meio do acompanhamento contínuo do desempenho do aluno, sob forma de prova escrita, oral ou prática, trabalho de pesquisa, individual ou em grupo, seminário, ou outros instrumentos constantes no plano de disciplina.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69775390625" w:line="264.37268257141113" w:lineRule="auto"/>
              <w:ind w:left="151.47994995117188" w:right="76.597900390625" w:hanging="3.740005493164062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Parágrafo único: O direito à segunda chamada segue o previsto no Art. 108, da Resolução 177/2012 - CEPEX/UFPI. O discente procederá com a solicitação de 2ª chamada mediante solicitação por e-mail à chefia do departamento, à chefia/coordenação do curso ou ao professor ao qual o componente curricular esteja vinculado.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642822265625" w:line="264.3728542327881" w:lineRule="auto"/>
              <w:ind w:left="143.55995178222656" w:right="60.47607421875" w:firstLine="2.2000122070312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Art. 13 Para a integralização dos Componentes Curriculares cursados por meio de atividades não presenciais serão considerados tanto o tempo despendido para as atividades síncronas, quanto o tempo dedicado às atividades assíncronas.</w:t>
            </w:r>
          </w:p>
        </w:tc>
      </w:tr>
    </w:tbl>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
        <w:tblW w:w="9640.0012207031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3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7599639892578" w:right="0" w:firstLine="0"/>
              <w:jc w:val="left"/>
              <w:rPr>
                <w:rFonts w:ascii="Times New Roman" w:cs="Times New Roman" w:eastAsia="Times New Roman" w:hAnsi="Times New Roman"/>
                <w:b w:val="1"/>
                <w:i w:val="0"/>
                <w:smallCaps w:val="0"/>
                <w:strike w:val="0"/>
                <w:color w:val="000000"/>
                <w:sz w:val="22"/>
                <w:szCs w:val="22"/>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d9d9d9" w:val="clear"/>
                <w:vertAlign w:val="baseline"/>
                <w:rtl w:val="0"/>
              </w:rPr>
              <w:t xml:space="preserve">VIII – REGULAMENTO DA DISCIPLINA</w:t>
            </w:r>
          </w:p>
        </w:tc>
      </w:tr>
    </w:tbl>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39700317383" w:lineRule="auto"/>
        <w:ind w:left="145.7599639892578" w:right="227.36083984375" w:firstLine="2.85995483398437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É expressamente proibida a filmagem e gravação de áudio das aulas, e ainda sua divulgação em qualquer meio de comunicação, sem autorização prévia, por escrito do(a) professor(a) da disciplina.</w:t>
      </w:r>
    </w:p>
    <w:tbl>
      <w:tblPr>
        <w:tblStyle w:val="Table10"/>
        <w:tblW w:w="9660.0012207031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001220703125"/>
        <w:tblGridChange w:id="0">
          <w:tblGrid>
            <w:gridCol w:w="9660.001220703125"/>
          </w:tblGrid>
        </w:tblGridChange>
      </w:tblGrid>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7999725341797"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IX – BIBLIOGRAFIA</w:t>
            </w:r>
          </w:p>
        </w:tc>
      </w:tr>
    </w:tbl>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6199188232422"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BIBLIOGRAFIA BÁSICA: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778076171875" w:line="230.99480152130127" w:lineRule="auto"/>
        <w:ind w:left="157.85995483398438" w:right="1140.811767578125" w:firstLine="14.2199707031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ANGERAMI-CAMON, V. A. (Org.); FEIJOO, A. M. L. C. (Colab.).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Ética na saúde.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São Paulo: Thomson, 2006. 182p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53515625" w:line="264.3717384338379" w:lineRule="auto"/>
        <w:ind w:left="153.0199432373047" w:right="206.1083984375" w:hanging="4.40002441406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DALL AGNOL, D.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Bioética: princípios morais e aplicações.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Rio de Janeiro: DP&amp;A, 2004. 197p. 3) ENGELHARDT JUNIOR, H. T.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Fundamentos da bioética.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ed. São Paulo: Edições Loyola, 2004. 518.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2041015625" w:line="264.3739700317383" w:lineRule="auto"/>
        <w:ind w:left="154.5599365234375" w:right="1031.2994384765625" w:hanging="7.040023803710937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NALINI, J. R.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Ética geral e profissional.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ed. São Paulo: Revista dos Tribunais, 2006. 524p. 5) SA, A. L.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Ética profissional.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ed. São Paulo: Atlas, 2005. 262p.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67333984375" w:line="240" w:lineRule="auto"/>
        <w:ind w:left="148.6199188232422"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BIBLIOGRAFIA COMPLEMENTAR: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3349609375" w:line="264.3739700317383" w:lineRule="auto"/>
        <w:ind w:left="147.7399444580078" w:right="184.271240234375" w:firstLine="21.99996948242187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DINIZ, D.; GUILHEM, D. (Colab.).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Que é bioética.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São Paulo: Brasiliense, 2007. 69p. (Coleção Primeiros Passo, 315)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4482421875" w:line="264.3710231781006" w:lineRule="auto"/>
        <w:ind w:left="147.51991271972656" w:right="683.9593505859375" w:firstLine="1.1000061035156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VALLS, A. L. M.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Que é ética.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São Paulo: Brasiliense, 2006. 82p. (Coleção Primeiros Passos, 177) 3) OLIVEIRA, F.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Bioética: uma face da cidadania.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ed. São Paulo: Moderna, 2004. 200. 4) BOFF, L.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Ética e moral: a busca dos fundamentos.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Petrópolis: Vozes, 2003. 125. 5) CHALITA, G.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Dez mandamentos da ética.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Rio de Janeiro: Nova Fronteira, 2003. 223p.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7.41455078125" w:line="459.77694511413574" w:lineRule="auto"/>
        <w:ind w:left="148.0799102783203" w:right="308.23974609375" w:firstLine="8.4000396728515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SUBMISSÃO AO COLEGIADO DO CURSO E NÚCLEO DOCENTE ESTRUTURANTE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de envio: 20.07.2021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953369140625" w:line="240" w:lineRule="auto"/>
        <w:ind w:left="148.079910278320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de aprovação: __21___/__07___/_2021____ </w:t>
      </w:r>
      <w:r w:rsidDel="00000000" w:rsidR="00000000" w:rsidRPr="00000000">
        <w:drawing>
          <wp:anchor allowOverlap="1" behindDoc="0" distB="19050" distT="19050" distL="19050" distR="19050" hidden="0" layoutInCell="1" locked="0" relativeHeight="0" simplePos="0">
            <wp:simplePos x="0" y="0"/>
            <wp:positionH relativeFrom="column">
              <wp:posOffset>3597859</wp:posOffset>
            </wp:positionH>
            <wp:positionV relativeFrom="paragraph">
              <wp:posOffset>143471</wp:posOffset>
            </wp:positionV>
            <wp:extent cx="2343150" cy="942975"/>
            <wp:effectExtent b="0" l="0" r="0" t="0"/>
            <wp:wrapSquare wrapText="bothSides" distB="19050" distT="19050" distL="19050" distR="1905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2343150" cy="942975"/>
                    </a:xfrm>
                    <a:prstGeom prst="rect"/>
                    <a:ln/>
                  </pic:spPr>
                </pic:pic>
              </a:graphicData>
            </a:graphic>
          </wp:anchor>
        </w:drawing>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2.098388671875" w:line="263.4909725189209" w:lineRule="auto"/>
        <w:ind w:left="147.7399444580078" w:right="0" w:hanging="6.819992065429687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 _________________________________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Prof</w:t>
      </w:r>
      <w:r w:rsidDel="00000000" w:rsidR="00000000" w:rsidRPr="00000000">
        <w:rPr>
          <w:rFonts w:ascii="Times New Roman" w:cs="Times New Roman" w:eastAsia="Times New Roman" w:hAnsi="Times New Roman"/>
          <w:b w:val="0"/>
          <w:i w:val="0"/>
          <w:smallCaps w:val="0"/>
          <w:strike w:val="0"/>
          <w:color w:val="000000"/>
          <w:sz w:val="22.000001271565758"/>
          <w:szCs w:val="22.000001271565758"/>
          <w:u w:val="none"/>
          <w:shd w:fill="auto" w:val="clear"/>
          <w:vertAlign w:val="superscript"/>
          <w:rtl w:val="0"/>
        </w:rPr>
        <w:t xml:space="preserve">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Dr</w:t>
      </w:r>
      <w:r w:rsidDel="00000000" w:rsidR="00000000" w:rsidRPr="00000000">
        <w:rPr>
          <w:rFonts w:ascii="Times New Roman" w:cs="Times New Roman" w:eastAsia="Times New Roman" w:hAnsi="Times New Roman"/>
          <w:b w:val="0"/>
          <w:i w:val="0"/>
          <w:smallCaps w:val="0"/>
          <w:strike w:val="0"/>
          <w:color w:val="000000"/>
          <w:sz w:val="22.000001271565758"/>
          <w:szCs w:val="22.000001271565758"/>
          <w:u w:val="none"/>
          <w:shd w:fill="auto" w:val="clear"/>
          <w:vertAlign w:val="superscript"/>
          <w:rtl w:val="0"/>
        </w:rPr>
        <w:t xml:space="preserve">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Regina Márcia Soares Cavalcante Profª. Drª. Artemízia Francisca de Sousa </w:t>
      </w:r>
      <w:r w:rsidDel="00000000" w:rsidR="00000000" w:rsidRPr="00000000">
        <w:drawing>
          <wp:anchor allowOverlap="1" behindDoc="0" distB="19050" distT="19050" distL="19050" distR="19050" hidden="0" layoutInCell="1" locked="0" relativeHeight="0" simplePos="0">
            <wp:simplePos x="0" y="0"/>
            <wp:positionH relativeFrom="column">
              <wp:posOffset>302425</wp:posOffset>
            </wp:positionH>
            <wp:positionV relativeFrom="paragraph">
              <wp:posOffset>-313250</wp:posOffset>
            </wp:positionV>
            <wp:extent cx="2171700" cy="523875"/>
            <wp:effectExtent b="0" l="0" r="0" t="0"/>
            <wp:wrapSquare wrapText="bothSides" distB="19050" distT="19050" distL="19050" distR="1905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171700" cy="523875"/>
                    </a:xfrm>
                    <a:prstGeom prst="rect"/>
                    <a:ln/>
                  </pic:spPr>
                </pic:pic>
              </a:graphicData>
            </a:graphic>
          </wp:anchor>
        </w:drawing>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5784912109375" w:line="240" w:lineRule="auto"/>
        <w:ind w:left="0" w:right="852.253417968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Profa. Responsável Presidente do Colegiado</w:t>
      </w:r>
    </w:p>
    <w:sectPr>
      <w:pgSz w:h="16840" w:w="11920" w:orient="portrait"/>
      <w:pgMar w:bottom="1169.998779296875" w:top="1110.003662109375" w:left="990" w:right="1148.37036132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